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7511F" w14:textId="77777777" w:rsidR="004D1B81" w:rsidRPr="001118E1" w:rsidRDefault="00761D88" w:rsidP="001118E1">
      <w:pPr>
        <w:pStyle w:val="Overskrift1"/>
        <w:spacing w:line="641" w:lineRule="exact"/>
        <w:ind w:left="0"/>
        <w:jc w:val="center"/>
        <w:rPr>
          <w:sz w:val="40"/>
          <w:szCs w:val="40"/>
        </w:rPr>
      </w:pPr>
      <w:bookmarkStart w:id="0" w:name="_GoBack"/>
      <w:bookmarkEnd w:id="0"/>
      <w:r w:rsidRPr="001118E1">
        <w:rPr>
          <w:sz w:val="40"/>
          <w:szCs w:val="40"/>
        </w:rPr>
        <w:t>BRUKSREGLER FOR</w:t>
      </w:r>
      <w:r w:rsidR="001118E1">
        <w:rPr>
          <w:sz w:val="40"/>
          <w:szCs w:val="40"/>
        </w:rPr>
        <w:t xml:space="preserve"> </w:t>
      </w:r>
      <w:r w:rsidR="00B969C5" w:rsidRPr="001118E1">
        <w:rPr>
          <w:sz w:val="40"/>
          <w:szCs w:val="40"/>
        </w:rPr>
        <w:t>GJERDRUM</w:t>
      </w:r>
      <w:r w:rsidRPr="001118E1">
        <w:rPr>
          <w:sz w:val="40"/>
          <w:szCs w:val="40"/>
        </w:rPr>
        <w:t xml:space="preserve"> ALMENNING</w:t>
      </w:r>
    </w:p>
    <w:p w14:paraId="7C800858" w14:textId="77777777" w:rsidR="004D1B81" w:rsidRDefault="00761D88">
      <w:pPr>
        <w:pStyle w:val="Brdtekst"/>
        <w:spacing w:before="252"/>
        <w:ind w:right="252"/>
      </w:pPr>
      <w:r>
        <w:t xml:space="preserve">Godkjent av Landbruks- og matdepartementet </w:t>
      </w:r>
      <w:r w:rsidR="00B969C5">
        <w:t>xx.xx.201</w:t>
      </w:r>
      <w:r w:rsidR="006B77F8">
        <w:t>9</w:t>
      </w:r>
      <w:r>
        <w:t xml:space="preserve"> med hjemmel i lov om bygdeallmenninger av 19. juni 1992 nr. 59.</w:t>
      </w:r>
    </w:p>
    <w:p w14:paraId="56CD225C" w14:textId="77777777" w:rsidR="004D1B81" w:rsidRDefault="004D1B81">
      <w:pPr>
        <w:pStyle w:val="Brdtekst"/>
        <w:spacing w:before="1"/>
        <w:ind w:left="0"/>
      </w:pPr>
    </w:p>
    <w:p w14:paraId="16AC1025" w14:textId="77777777" w:rsidR="004D1B81" w:rsidRDefault="00761D88">
      <w:pPr>
        <w:pStyle w:val="Brdtekst"/>
      </w:pPr>
      <w:r>
        <w:t>FORORD</w:t>
      </w:r>
    </w:p>
    <w:p w14:paraId="61F4246B" w14:textId="77777777" w:rsidR="004D1B81" w:rsidRDefault="004D1B81">
      <w:pPr>
        <w:pStyle w:val="Brdtekst"/>
        <w:spacing w:before="1"/>
        <w:ind w:left="0"/>
      </w:pPr>
    </w:p>
    <w:p w14:paraId="6E2619ED" w14:textId="77777777" w:rsidR="004D1B81" w:rsidRDefault="00761D88">
      <w:pPr>
        <w:pStyle w:val="Brdtekst"/>
        <w:ind w:right="227"/>
      </w:pPr>
      <w:r>
        <w:t>Disse bruksregler er gitt med hjemmel i lov av 19. juni 1992 nr. 59 om bygdeallmenninger § 3 - 7, og er godkjent av Landbruksdepartementet etter bestemmelser i samme lovs § 3-8.</w:t>
      </w:r>
    </w:p>
    <w:p w14:paraId="46BD7901" w14:textId="77777777" w:rsidR="004D1B81" w:rsidRDefault="00761D88">
      <w:pPr>
        <w:pStyle w:val="Brdtekst"/>
        <w:ind w:right="141"/>
      </w:pPr>
      <w:r>
        <w:t>Bruksreglene er bindene for allmenningstyret, de eiendomsberettigede og bruksberettigede. Bruksreglene skal legges til grunn for styrets forvaltning av allmenningen, og de eiendomsberettigede og bruksberettigedes utøvelse av bruksrettene, ved siden av bestemmelsene i lov om bygdeallmenninger og annet lovverk. For den allmenning som er statsallmenning, og som med hensyn til skogsdrift og virkesrett forvaltes som bygdeallmenning, gjelder bestemmelsene i bruksreglene så langt de passer. For øvrige bruksretter i statsallmenningen for jakt og fisk og grunndisponeringstiltak mv., gjelder fjellovens bestemmelser og forskrifter gitt med hjemmel i denne.</w:t>
      </w:r>
    </w:p>
    <w:p w14:paraId="6DD80862" w14:textId="77777777" w:rsidR="004D1B81" w:rsidRDefault="004D1B81">
      <w:pPr>
        <w:pStyle w:val="Brdtekst"/>
        <w:ind w:left="0"/>
      </w:pPr>
    </w:p>
    <w:p w14:paraId="13C67C75" w14:textId="77777777" w:rsidR="004D1B81" w:rsidRDefault="00761D88">
      <w:pPr>
        <w:pStyle w:val="Brdtekst"/>
      </w:pPr>
      <w:r>
        <w:t>§ 1. FORMÅL</w:t>
      </w:r>
    </w:p>
    <w:p w14:paraId="40A15ADD" w14:textId="77777777" w:rsidR="004D1B81" w:rsidRDefault="004D1B81">
      <w:pPr>
        <w:pStyle w:val="Brdtekst"/>
        <w:ind w:left="0"/>
      </w:pPr>
    </w:p>
    <w:p w14:paraId="09279945" w14:textId="77777777" w:rsidR="004D1B81" w:rsidRDefault="00761D88">
      <w:pPr>
        <w:pStyle w:val="Brdtekst"/>
        <w:ind w:right="606"/>
      </w:pPr>
      <w:r>
        <w:t>Formålet med disse bruksregler er å sikre en forsvarlig forvaltning og utnyttelse av allmenningen innen lovens rammer, slik at den kan opprettholdes som en felles ressurs til beste for de bruksberettigede, og dernest til beste for bosetting, næringsvirksomhet, naturmiljø og friluftsliv i bygdelaget.</w:t>
      </w:r>
    </w:p>
    <w:p w14:paraId="4F2F9C65" w14:textId="77777777" w:rsidR="004D1B81" w:rsidRDefault="004D1B81">
      <w:pPr>
        <w:pStyle w:val="Brdtekst"/>
        <w:ind w:left="0"/>
      </w:pPr>
    </w:p>
    <w:p w14:paraId="708FAE99" w14:textId="77777777" w:rsidR="004D1B81" w:rsidRDefault="00761D88">
      <w:pPr>
        <w:pStyle w:val="Brdtekst"/>
      </w:pPr>
      <w:r>
        <w:t>§ 2. FORVALTNING OG ADMINISTRASJON</w:t>
      </w:r>
    </w:p>
    <w:p w14:paraId="532A109A" w14:textId="77777777" w:rsidR="004D1B81" w:rsidRDefault="004D1B81">
      <w:pPr>
        <w:pStyle w:val="Brdtekst"/>
        <w:spacing w:before="1"/>
        <w:ind w:left="0"/>
      </w:pPr>
    </w:p>
    <w:p w14:paraId="0FCBC8E1" w14:textId="77777777" w:rsidR="004D1B81" w:rsidRDefault="00761D88">
      <w:pPr>
        <w:pStyle w:val="Brdtekst"/>
      </w:pPr>
      <w:r>
        <w:t>Allmenningstyret skal bestå av 6 medlemmer og like mange varamedlemmer.</w:t>
      </w:r>
    </w:p>
    <w:p w14:paraId="17E6068E" w14:textId="77777777" w:rsidR="004D1B81" w:rsidRDefault="004D1B81">
      <w:pPr>
        <w:pStyle w:val="Brdtekst"/>
        <w:ind w:left="0"/>
      </w:pPr>
    </w:p>
    <w:p w14:paraId="6E962C82" w14:textId="77777777" w:rsidR="004D1B81" w:rsidRDefault="00761D88">
      <w:pPr>
        <w:pStyle w:val="Brdtekst"/>
      </w:pPr>
      <w:r>
        <w:t>§ 3. VIRKESRETT</w:t>
      </w:r>
    </w:p>
    <w:p w14:paraId="1236568A" w14:textId="77777777" w:rsidR="004D1B81" w:rsidRDefault="004D1B81">
      <w:pPr>
        <w:pStyle w:val="Brdtekst"/>
        <w:spacing w:before="1"/>
        <w:ind w:left="0"/>
      </w:pPr>
    </w:p>
    <w:p w14:paraId="49A2A168" w14:textId="77777777" w:rsidR="004D1B81" w:rsidRDefault="00761D88">
      <w:pPr>
        <w:pStyle w:val="Brdtekst"/>
        <w:ind w:right="227"/>
      </w:pPr>
      <w:r>
        <w:t>Søknad om uttak av materialer eller allmenningsytelser må inneholde opplysninger om eiendommens navn, gårds- og bruksnummer, hvem som er eier og bruker, og hva materialene eller allmenningsytelsene skal brukes til.</w:t>
      </w:r>
    </w:p>
    <w:p w14:paraId="7F16F23D" w14:textId="77777777" w:rsidR="004D1B81" w:rsidRDefault="004D1B81">
      <w:pPr>
        <w:pStyle w:val="Brdtekst"/>
        <w:spacing w:before="10"/>
        <w:ind w:left="0"/>
        <w:rPr>
          <w:sz w:val="21"/>
        </w:rPr>
      </w:pPr>
    </w:p>
    <w:p w14:paraId="2E57F7BC" w14:textId="77777777" w:rsidR="004D1B81" w:rsidRDefault="00761D88">
      <w:pPr>
        <w:pStyle w:val="Brdtekst"/>
        <w:spacing w:line="480" w:lineRule="auto"/>
        <w:ind w:right="653"/>
      </w:pPr>
      <w:r>
        <w:t>Omfang av bruksrettsytelser vurderes og fastsettes av det til enhver tid sittende styre. Oppmåling og tildeling av almenningsytelser finner sted en gang pr. år, søknadsfrist 1</w:t>
      </w:r>
      <w:r>
        <w:rPr>
          <w:spacing w:val="-25"/>
        </w:rPr>
        <w:t xml:space="preserve"> </w:t>
      </w:r>
      <w:r>
        <w:t>desember.</w:t>
      </w:r>
    </w:p>
    <w:p w14:paraId="7FC7BE96" w14:textId="77777777" w:rsidR="001118E1" w:rsidRPr="00164B42" w:rsidRDefault="001118E1" w:rsidP="001118E1">
      <w:pPr>
        <w:pStyle w:val="Brdtekst"/>
      </w:pPr>
      <w:r w:rsidRPr="00164B42">
        <w:t>§ 4. NÆRMERE BESTEMMELSER OM DISPONERING AV OVERSKUDD</w:t>
      </w:r>
    </w:p>
    <w:p w14:paraId="2CE771C9" w14:textId="77777777" w:rsidR="001118E1" w:rsidRPr="00164B42" w:rsidRDefault="001118E1" w:rsidP="001118E1">
      <w:pPr>
        <w:pStyle w:val="Brdtekst"/>
      </w:pPr>
    </w:p>
    <w:p w14:paraId="4604F812" w14:textId="77777777" w:rsidR="001118E1" w:rsidRPr="00164B42" w:rsidRDefault="001118E1" w:rsidP="001118E1">
      <w:pPr>
        <w:pStyle w:val="Brdtekst"/>
      </w:pPr>
      <w:r w:rsidRPr="00164B42">
        <w:t xml:space="preserve">Allmenningens midler og eiendeler utover allmenningsgrunnen tilhører enten </w:t>
      </w:r>
      <w:r w:rsidRPr="00164B42">
        <w:rPr>
          <w:i/>
        </w:rPr>
        <w:t>Allmennings kassen,</w:t>
      </w:r>
      <w:r w:rsidRPr="00164B42">
        <w:t xml:space="preserve"> </w:t>
      </w:r>
      <w:r w:rsidRPr="00164B42">
        <w:rPr>
          <w:i/>
        </w:rPr>
        <w:t>Allmenningens fond til allmenningens forbedring</w:t>
      </w:r>
      <w:r w:rsidRPr="00164B42">
        <w:t xml:space="preserve">, eller </w:t>
      </w:r>
      <w:r w:rsidRPr="00164B42">
        <w:rPr>
          <w:i/>
        </w:rPr>
        <w:t>Allmenningens erstatnings fond</w:t>
      </w:r>
      <w:r w:rsidRPr="00164B42">
        <w:t>.</w:t>
      </w:r>
    </w:p>
    <w:p w14:paraId="47ADB264" w14:textId="77777777" w:rsidR="001118E1" w:rsidRDefault="001118E1" w:rsidP="001118E1">
      <w:pPr>
        <w:pStyle w:val="Brdtekst"/>
      </w:pPr>
    </w:p>
    <w:p w14:paraId="6DA176B9" w14:textId="77777777" w:rsidR="001118E1" w:rsidRPr="00164B42" w:rsidRDefault="001118E1" w:rsidP="001118E1">
      <w:pPr>
        <w:pStyle w:val="Brdtekst"/>
        <w:ind w:left="0"/>
        <w:rPr>
          <w:i/>
        </w:rPr>
      </w:pPr>
      <w:r>
        <w:t xml:space="preserve">  </w:t>
      </w:r>
      <w:r w:rsidRPr="00164B42">
        <w:t xml:space="preserve">4.1. Bestemmelser for </w:t>
      </w:r>
      <w:r w:rsidRPr="00164B42">
        <w:rPr>
          <w:i/>
        </w:rPr>
        <w:t>Allmenningens fond til allmenningens</w:t>
      </w:r>
      <w:r w:rsidRPr="00164B42">
        <w:rPr>
          <w:i/>
          <w:spacing w:val="-4"/>
        </w:rPr>
        <w:t xml:space="preserve"> </w:t>
      </w:r>
      <w:r w:rsidRPr="00164B42">
        <w:rPr>
          <w:i/>
        </w:rPr>
        <w:t>forbedring.</w:t>
      </w:r>
    </w:p>
    <w:p w14:paraId="66549396" w14:textId="77777777" w:rsidR="001118E1" w:rsidRPr="00164B42" w:rsidRDefault="001118E1" w:rsidP="001118E1">
      <w:pPr>
        <w:pStyle w:val="Brdtekst"/>
        <w:rPr>
          <w:i/>
        </w:rPr>
      </w:pPr>
    </w:p>
    <w:p w14:paraId="55AECF69" w14:textId="77777777" w:rsidR="001118E1" w:rsidRPr="00164B42" w:rsidRDefault="001118E1" w:rsidP="001118E1">
      <w:pPr>
        <w:pStyle w:val="Brdtekst"/>
      </w:pPr>
      <w:r w:rsidRPr="00164B42">
        <w:t>Fondet</w:t>
      </w:r>
      <w:r w:rsidRPr="00164B42">
        <w:rPr>
          <w:spacing w:val="-10"/>
        </w:rPr>
        <w:t xml:space="preserve"> </w:t>
      </w:r>
      <w:r w:rsidRPr="00164B42">
        <w:t>forvaltes</w:t>
      </w:r>
      <w:r w:rsidRPr="00164B42">
        <w:rPr>
          <w:spacing w:val="-11"/>
        </w:rPr>
        <w:t xml:space="preserve"> </w:t>
      </w:r>
      <w:r w:rsidRPr="00164B42">
        <w:t>av</w:t>
      </w:r>
      <w:r w:rsidRPr="00164B42">
        <w:rPr>
          <w:spacing w:val="-11"/>
        </w:rPr>
        <w:t xml:space="preserve"> </w:t>
      </w:r>
      <w:r w:rsidRPr="00164B42">
        <w:t>allmenningsstyret</w:t>
      </w:r>
      <w:r w:rsidRPr="00164B42">
        <w:rPr>
          <w:spacing w:val="-8"/>
        </w:rPr>
        <w:t xml:space="preserve"> </w:t>
      </w:r>
      <w:r w:rsidRPr="00164B42">
        <w:t>i</w:t>
      </w:r>
      <w:r w:rsidRPr="00164B42">
        <w:rPr>
          <w:spacing w:val="-12"/>
        </w:rPr>
        <w:t xml:space="preserve"> </w:t>
      </w:r>
      <w:r w:rsidRPr="00164B42">
        <w:t>henhold</w:t>
      </w:r>
      <w:r w:rsidRPr="00164B42">
        <w:rPr>
          <w:spacing w:val="-11"/>
        </w:rPr>
        <w:t xml:space="preserve"> </w:t>
      </w:r>
      <w:r w:rsidRPr="00164B42">
        <w:t>til</w:t>
      </w:r>
      <w:r w:rsidRPr="00164B42">
        <w:rPr>
          <w:spacing w:val="-12"/>
        </w:rPr>
        <w:t xml:space="preserve"> </w:t>
      </w:r>
      <w:r w:rsidRPr="00164B42">
        <w:t>følgende</w:t>
      </w:r>
      <w:r w:rsidRPr="00164B42">
        <w:rPr>
          <w:spacing w:val="-9"/>
        </w:rPr>
        <w:t xml:space="preserve"> </w:t>
      </w:r>
      <w:r w:rsidRPr="00164B42">
        <w:t>bestemmelser. Innskudd i fondet kan kun foretas med midler som skriver seg fra inntekter ved utnyttelse, salg, mv. av</w:t>
      </w:r>
      <w:r w:rsidRPr="00164B42">
        <w:rPr>
          <w:spacing w:val="-9"/>
        </w:rPr>
        <w:t xml:space="preserve"> </w:t>
      </w:r>
      <w:r w:rsidRPr="00164B42">
        <w:t>allmenningsgrunnen. Allmenningsstyret avgjør løpende, om og i hvor stor grad det ved disponering av årlig overskudd skal foretas overføring til</w:t>
      </w:r>
      <w:r w:rsidRPr="00164B42">
        <w:rPr>
          <w:spacing w:val="-4"/>
        </w:rPr>
        <w:t xml:space="preserve"> </w:t>
      </w:r>
      <w:r w:rsidRPr="00164B42">
        <w:t>fondet. Innskutt kapital i fondet</w:t>
      </w:r>
      <w:r w:rsidR="005F0AB5">
        <w:t xml:space="preserve"> kan benyttes som avkastningen av fondet</w:t>
      </w:r>
      <w:r w:rsidRPr="00164B42">
        <w:t xml:space="preserve">, </w:t>
      </w:r>
      <w:r w:rsidR="005F0AB5">
        <w:t>samt til</w:t>
      </w:r>
      <w:r w:rsidRPr="00164B42">
        <w:t xml:space="preserve"> plassering av fondsmidler. Plassering av fondsmidlene skal skje slik at de i størst mulig grad gir løpende og sikker avkastning. </w:t>
      </w:r>
    </w:p>
    <w:p w14:paraId="2E57DAE5" w14:textId="77777777" w:rsidR="001118E1" w:rsidRPr="00164B42" w:rsidRDefault="001118E1" w:rsidP="001118E1">
      <w:pPr>
        <w:pStyle w:val="Brdtekst"/>
      </w:pPr>
    </w:p>
    <w:p w14:paraId="7B753E4E" w14:textId="77777777" w:rsidR="001118E1" w:rsidRPr="00164B42" w:rsidRDefault="001118E1" w:rsidP="001118E1">
      <w:pPr>
        <w:pStyle w:val="Brdtekst"/>
      </w:pPr>
      <w:r w:rsidRPr="00164B42">
        <w:t>Avkastningen av fondet skal kun benyttes til forbedring av allmenningen eller til allmenne formål. Avkastningen kan ikke brukes til ytelser eller bidrag til de</w:t>
      </w:r>
      <w:r w:rsidRPr="00164B42">
        <w:rPr>
          <w:spacing w:val="-2"/>
        </w:rPr>
        <w:t xml:space="preserve"> </w:t>
      </w:r>
      <w:r w:rsidRPr="00164B42">
        <w:t xml:space="preserve">bruksberettigede. Allmenningens regnskap skal føres slik at det løpende gir oversikt over innskudd kapital, årlig avkastning, akkumulert </w:t>
      </w:r>
      <w:r w:rsidRPr="00164B42">
        <w:lastRenderedPageBreak/>
        <w:t>avkastning og hva som i det enkelte år er brukt av fondets</w:t>
      </w:r>
      <w:r w:rsidRPr="00164B42">
        <w:rPr>
          <w:spacing w:val="-6"/>
        </w:rPr>
        <w:t xml:space="preserve"> </w:t>
      </w:r>
      <w:r w:rsidRPr="00164B42">
        <w:t>avkastning.</w:t>
      </w:r>
    </w:p>
    <w:p w14:paraId="5BE4429A" w14:textId="77777777" w:rsidR="001118E1" w:rsidRPr="00164B42" w:rsidRDefault="001118E1" w:rsidP="001118E1">
      <w:pPr>
        <w:pStyle w:val="Brdtekst"/>
      </w:pPr>
    </w:p>
    <w:p w14:paraId="5EDBE8FB" w14:textId="77777777" w:rsidR="001118E1" w:rsidRPr="00164B42" w:rsidRDefault="001118E1" w:rsidP="001118E1">
      <w:pPr>
        <w:pStyle w:val="Brdtekst"/>
      </w:pPr>
      <w:r w:rsidRPr="00164B42">
        <w:t xml:space="preserve">4.2. Bestemmelser for </w:t>
      </w:r>
      <w:r w:rsidRPr="00164B42">
        <w:rPr>
          <w:i/>
        </w:rPr>
        <w:t>Allmenningens</w:t>
      </w:r>
      <w:r w:rsidRPr="00164B42">
        <w:rPr>
          <w:i/>
          <w:spacing w:val="-1"/>
        </w:rPr>
        <w:t xml:space="preserve"> </w:t>
      </w:r>
      <w:r w:rsidRPr="00164B42">
        <w:rPr>
          <w:i/>
        </w:rPr>
        <w:t>erstatningsfond</w:t>
      </w:r>
      <w:r w:rsidRPr="00164B42">
        <w:t>.</w:t>
      </w:r>
    </w:p>
    <w:p w14:paraId="3585D9A0" w14:textId="77777777" w:rsidR="001118E1" w:rsidRPr="00164B42" w:rsidRDefault="001118E1" w:rsidP="001118E1">
      <w:pPr>
        <w:pStyle w:val="Brdtekst"/>
      </w:pPr>
    </w:p>
    <w:p w14:paraId="6AFA8CF0" w14:textId="77777777" w:rsidR="001118E1" w:rsidRPr="00164B42" w:rsidRDefault="001118E1" w:rsidP="001118E1">
      <w:pPr>
        <w:pStyle w:val="Brdtekst"/>
      </w:pPr>
      <w:r w:rsidRPr="00164B42">
        <w:t>Fondet</w:t>
      </w:r>
      <w:r w:rsidRPr="00164B42">
        <w:rPr>
          <w:spacing w:val="-10"/>
        </w:rPr>
        <w:t xml:space="preserve"> </w:t>
      </w:r>
      <w:r w:rsidRPr="00164B42">
        <w:t>forvaltes</w:t>
      </w:r>
      <w:r w:rsidRPr="00164B42">
        <w:rPr>
          <w:spacing w:val="-11"/>
        </w:rPr>
        <w:t xml:space="preserve"> </w:t>
      </w:r>
      <w:r w:rsidRPr="00164B42">
        <w:t>av</w:t>
      </w:r>
      <w:r w:rsidRPr="00164B42">
        <w:rPr>
          <w:spacing w:val="-11"/>
        </w:rPr>
        <w:t xml:space="preserve"> </w:t>
      </w:r>
      <w:r w:rsidRPr="00164B42">
        <w:t>allmenningsstyret</w:t>
      </w:r>
      <w:r w:rsidRPr="00164B42">
        <w:rPr>
          <w:spacing w:val="-8"/>
        </w:rPr>
        <w:t xml:space="preserve"> </w:t>
      </w:r>
      <w:r w:rsidRPr="00164B42">
        <w:t>i</w:t>
      </w:r>
      <w:r w:rsidRPr="00164B42">
        <w:rPr>
          <w:spacing w:val="-12"/>
        </w:rPr>
        <w:t xml:space="preserve"> </w:t>
      </w:r>
      <w:r w:rsidRPr="00164B42">
        <w:t>henhold</w:t>
      </w:r>
      <w:r w:rsidRPr="00164B42">
        <w:rPr>
          <w:spacing w:val="-11"/>
        </w:rPr>
        <w:t xml:space="preserve"> </w:t>
      </w:r>
      <w:r w:rsidRPr="00164B42">
        <w:t>til</w:t>
      </w:r>
      <w:r w:rsidRPr="00164B42">
        <w:rPr>
          <w:spacing w:val="-12"/>
        </w:rPr>
        <w:t xml:space="preserve"> </w:t>
      </w:r>
      <w:r w:rsidRPr="00164B42">
        <w:t>følgende</w:t>
      </w:r>
      <w:r w:rsidRPr="00164B42">
        <w:rPr>
          <w:spacing w:val="-9"/>
        </w:rPr>
        <w:t xml:space="preserve"> </w:t>
      </w:r>
      <w:r w:rsidRPr="00164B42">
        <w:t>bestemmelser.</w:t>
      </w:r>
    </w:p>
    <w:p w14:paraId="28FDCDC6" w14:textId="77777777" w:rsidR="001118E1" w:rsidRPr="00164B42" w:rsidRDefault="001118E1" w:rsidP="001118E1">
      <w:pPr>
        <w:pStyle w:val="Brdtekst"/>
      </w:pPr>
      <w:r w:rsidRPr="00164B42">
        <w:t>Innskudd i fondet kan kun foretas med midler som skriver seg fra, erstatning</w:t>
      </w:r>
      <w:r w:rsidRPr="00164B42">
        <w:rPr>
          <w:spacing w:val="-14"/>
        </w:rPr>
        <w:t xml:space="preserve"> </w:t>
      </w:r>
      <w:r w:rsidRPr="00164B42">
        <w:t>for</w:t>
      </w:r>
      <w:r w:rsidRPr="00164B42">
        <w:rPr>
          <w:spacing w:val="-10"/>
        </w:rPr>
        <w:t xml:space="preserve"> </w:t>
      </w:r>
      <w:r w:rsidRPr="00164B42">
        <w:t>vern</w:t>
      </w:r>
      <w:r w:rsidRPr="00164B42">
        <w:rPr>
          <w:spacing w:val="-11"/>
        </w:rPr>
        <w:t xml:space="preserve"> </w:t>
      </w:r>
      <w:r w:rsidRPr="00164B42">
        <w:t>av</w:t>
      </w:r>
      <w:r w:rsidRPr="00164B42">
        <w:rPr>
          <w:spacing w:val="-14"/>
        </w:rPr>
        <w:t xml:space="preserve"> </w:t>
      </w:r>
      <w:r w:rsidRPr="00164B42">
        <w:t>allmenningsgrunn,</w:t>
      </w:r>
      <w:r w:rsidRPr="00164B42">
        <w:rPr>
          <w:spacing w:val="-10"/>
        </w:rPr>
        <w:t xml:space="preserve"> </w:t>
      </w:r>
      <w:r w:rsidRPr="00164B42">
        <w:t>avståelse</w:t>
      </w:r>
      <w:r w:rsidRPr="00164B42">
        <w:rPr>
          <w:spacing w:val="-11"/>
        </w:rPr>
        <w:t xml:space="preserve"> </w:t>
      </w:r>
      <w:r w:rsidRPr="00164B42">
        <w:t>av</w:t>
      </w:r>
      <w:r w:rsidRPr="00164B42">
        <w:rPr>
          <w:spacing w:val="-14"/>
        </w:rPr>
        <w:t xml:space="preserve"> </w:t>
      </w:r>
      <w:r w:rsidRPr="00164B42">
        <w:t>allmennings grunn ved ekspropriasjon, salg under trussel om ekspropriasjon, eller salg i en situasjon hvor kjøper har</w:t>
      </w:r>
      <w:r w:rsidRPr="00164B42">
        <w:rPr>
          <w:spacing w:val="-10"/>
        </w:rPr>
        <w:t xml:space="preserve"> </w:t>
      </w:r>
      <w:r w:rsidRPr="00164B42">
        <w:t>ekspropriasjonshjemmel. Allmenningsstyret avgjør løpende, om og i hvor stor grad det</w:t>
      </w:r>
      <w:r w:rsidRPr="00164B42">
        <w:rPr>
          <w:spacing w:val="-13"/>
        </w:rPr>
        <w:t xml:space="preserve"> </w:t>
      </w:r>
      <w:r w:rsidRPr="00164B42">
        <w:t>ved</w:t>
      </w:r>
      <w:r w:rsidRPr="00164B42">
        <w:rPr>
          <w:spacing w:val="-15"/>
        </w:rPr>
        <w:t xml:space="preserve"> </w:t>
      </w:r>
      <w:r w:rsidRPr="00164B42">
        <w:t>disponering</w:t>
      </w:r>
      <w:r w:rsidRPr="00164B42">
        <w:rPr>
          <w:spacing w:val="-13"/>
        </w:rPr>
        <w:t xml:space="preserve"> </w:t>
      </w:r>
      <w:r w:rsidRPr="00164B42">
        <w:t>av</w:t>
      </w:r>
      <w:r w:rsidRPr="00164B42">
        <w:rPr>
          <w:spacing w:val="-17"/>
        </w:rPr>
        <w:t xml:space="preserve"> </w:t>
      </w:r>
      <w:r w:rsidRPr="00164B42">
        <w:t>årlig</w:t>
      </w:r>
      <w:r w:rsidRPr="00164B42">
        <w:rPr>
          <w:spacing w:val="-11"/>
        </w:rPr>
        <w:t xml:space="preserve"> </w:t>
      </w:r>
      <w:r w:rsidRPr="00164B42">
        <w:t>inntekter</w:t>
      </w:r>
      <w:r w:rsidRPr="00164B42">
        <w:rPr>
          <w:spacing w:val="-16"/>
        </w:rPr>
        <w:t xml:space="preserve"> </w:t>
      </w:r>
      <w:r w:rsidRPr="00164B42">
        <w:t>skal</w:t>
      </w:r>
      <w:r w:rsidRPr="00164B42">
        <w:rPr>
          <w:spacing w:val="-18"/>
        </w:rPr>
        <w:t xml:space="preserve"> </w:t>
      </w:r>
      <w:r w:rsidRPr="00164B42">
        <w:t>foretas</w:t>
      </w:r>
      <w:r w:rsidRPr="00164B42">
        <w:rPr>
          <w:spacing w:val="-14"/>
        </w:rPr>
        <w:t xml:space="preserve"> </w:t>
      </w:r>
      <w:r w:rsidRPr="00164B42">
        <w:t>overføring til</w:t>
      </w:r>
      <w:r w:rsidRPr="00164B42">
        <w:rPr>
          <w:spacing w:val="-3"/>
        </w:rPr>
        <w:t xml:space="preserve"> </w:t>
      </w:r>
      <w:r w:rsidRPr="00164B42">
        <w:t>fondet. Fondets midler skal plasseres slik at de i størst mulig grad gir løpende og sikker</w:t>
      </w:r>
      <w:r w:rsidRPr="00164B42">
        <w:rPr>
          <w:spacing w:val="1"/>
        </w:rPr>
        <w:t xml:space="preserve"> </w:t>
      </w:r>
      <w:r w:rsidRPr="00164B42">
        <w:t>avkastning.</w:t>
      </w:r>
    </w:p>
    <w:p w14:paraId="2BCBDEB3" w14:textId="77777777" w:rsidR="001118E1" w:rsidRPr="00164B42" w:rsidRDefault="001118E1" w:rsidP="001118E1">
      <w:pPr>
        <w:pStyle w:val="Brdtekst"/>
      </w:pPr>
      <w:r w:rsidRPr="00164B42">
        <w:t>Uttak av innskutt kapital kan som hovedregel kun skje til kjøp av eiendom som kan inkorporeres i allmenningen og andre allmenningsformål,</w:t>
      </w:r>
      <w:r w:rsidRPr="00164B42">
        <w:rPr>
          <w:spacing w:val="-12"/>
        </w:rPr>
        <w:t xml:space="preserve"> </w:t>
      </w:r>
      <w:r w:rsidRPr="00164B42">
        <w:t>herunder</w:t>
      </w:r>
      <w:r w:rsidRPr="00164B42">
        <w:rPr>
          <w:spacing w:val="-15"/>
        </w:rPr>
        <w:t xml:space="preserve"> </w:t>
      </w:r>
      <w:r w:rsidRPr="00164B42">
        <w:t>investeringer</w:t>
      </w:r>
      <w:r w:rsidRPr="00164B42">
        <w:rPr>
          <w:spacing w:val="-15"/>
        </w:rPr>
        <w:t xml:space="preserve"> </w:t>
      </w:r>
      <w:r w:rsidRPr="00164B42">
        <w:t>til</w:t>
      </w:r>
      <w:r w:rsidRPr="00164B42">
        <w:rPr>
          <w:spacing w:val="-14"/>
        </w:rPr>
        <w:t xml:space="preserve"> </w:t>
      </w:r>
      <w:r w:rsidRPr="00164B42">
        <w:t>økning</w:t>
      </w:r>
      <w:r w:rsidRPr="00164B42">
        <w:rPr>
          <w:spacing w:val="-14"/>
        </w:rPr>
        <w:t xml:space="preserve"> </w:t>
      </w:r>
      <w:r w:rsidRPr="00164B42">
        <w:t>av</w:t>
      </w:r>
      <w:r w:rsidRPr="00164B42">
        <w:rPr>
          <w:spacing w:val="-16"/>
        </w:rPr>
        <w:t xml:space="preserve"> </w:t>
      </w:r>
      <w:r w:rsidRPr="00164B42">
        <w:t>verdien</w:t>
      </w:r>
      <w:r w:rsidRPr="00164B42">
        <w:rPr>
          <w:spacing w:val="-14"/>
        </w:rPr>
        <w:t xml:space="preserve"> </w:t>
      </w:r>
      <w:r w:rsidRPr="00164B42">
        <w:t>av</w:t>
      </w:r>
      <w:r w:rsidRPr="00164B42">
        <w:rPr>
          <w:spacing w:val="-16"/>
        </w:rPr>
        <w:t xml:space="preserve"> </w:t>
      </w:r>
      <w:r w:rsidRPr="00164B42">
        <w:t>allmenningsgrunnen.</w:t>
      </w:r>
    </w:p>
    <w:p w14:paraId="472B5497" w14:textId="77777777" w:rsidR="001118E1" w:rsidRPr="00164B42" w:rsidRDefault="001118E1" w:rsidP="001118E1">
      <w:pPr>
        <w:pStyle w:val="Brdtekst"/>
      </w:pPr>
    </w:p>
    <w:p w14:paraId="6458FD58" w14:textId="77777777" w:rsidR="001118E1" w:rsidRPr="00164B42" w:rsidRDefault="001118E1" w:rsidP="001118E1">
      <w:pPr>
        <w:pStyle w:val="Brdtekst"/>
      </w:pPr>
      <w:r w:rsidRPr="00164B42">
        <w:t>Avkastningen</w:t>
      </w:r>
      <w:r w:rsidRPr="00164B42">
        <w:rPr>
          <w:spacing w:val="-8"/>
        </w:rPr>
        <w:t xml:space="preserve"> </w:t>
      </w:r>
      <w:r w:rsidRPr="00164B42">
        <w:t>av</w:t>
      </w:r>
      <w:r w:rsidRPr="00164B42">
        <w:rPr>
          <w:spacing w:val="-15"/>
        </w:rPr>
        <w:t xml:space="preserve"> </w:t>
      </w:r>
      <w:r w:rsidRPr="00164B42">
        <w:t>fondet</w:t>
      </w:r>
      <w:r w:rsidRPr="00164B42">
        <w:rPr>
          <w:spacing w:val="-11"/>
        </w:rPr>
        <w:t xml:space="preserve"> </w:t>
      </w:r>
      <w:r w:rsidRPr="00164B42">
        <w:t>kan</w:t>
      </w:r>
      <w:r w:rsidRPr="00164B42">
        <w:rPr>
          <w:spacing w:val="-8"/>
        </w:rPr>
        <w:t xml:space="preserve"> </w:t>
      </w:r>
      <w:r w:rsidRPr="00164B42">
        <w:t>benyttes</w:t>
      </w:r>
      <w:r w:rsidRPr="00164B42">
        <w:rPr>
          <w:spacing w:val="-10"/>
        </w:rPr>
        <w:t xml:space="preserve"> </w:t>
      </w:r>
      <w:r w:rsidRPr="00164B42">
        <w:t>på</w:t>
      </w:r>
      <w:r w:rsidRPr="00164B42">
        <w:rPr>
          <w:spacing w:val="-11"/>
        </w:rPr>
        <w:t xml:space="preserve"> </w:t>
      </w:r>
      <w:r w:rsidRPr="00164B42">
        <w:t>samme</w:t>
      </w:r>
      <w:r w:rsidRPr="00164B42">
        <w:rPr>
          <w:spacing w:val="-10"/>
        </w:rPr>
        <w:t xml:space="preserve"> </w:t>
      </w:r>
      <w:r w:rsidRPr="00164B42">
        <w:t>måte</w:t>
      </w:r>
      <w:r w:rsidRPr="00164B42">
        <w:rPr>
          <w:spacing w:val="-10"/>
        </w:rPr>
        <w:t xml:space="preserve"> </w:t>
      </w:r>
      <w:r w:rsidRPr="00164B42">
        <w:t>som</w:t>
      </w:r>
      <w:r w:rsidRPr="00164B42">
        <w:rPr>
          <w:spacing w:val="-9"/>
        </w:rPr>
        <w:t xml:space="preserve"> </w:t>
      </w:r>
      <w:r w:rsidRPr="00164B42">
        <w:t>innskutt kapital,</w:t>
      </w:r>
      <w:r w:rsidRPr="00164B42">
        <w:rPr>
          <w:spacing w:val="-10"/>
        </w:rPr>
        <w:t xml:space="preserve"> </w:t>
      </w:r>
      <w:r w:rsidRPr="00164B42">
        <w:t>og</w:t>
      </w:r>
      <w:r w:rsidRPr="00164B42">
        <w:rPr>
          <w:spacing w:val="-9"/>
        </w:rPr>
        <w:t xml:space="preserve"> </w:t>
      </w:r>
      <w:r w:rsidRPr="00164B42">
        <w:t>i</w:t>
      </w:r>
      <w:r w:rsidRPr="00164B42">
        <w:rPr>
          <w:spacing w:val="-12"/>
        </w:rPr>
        <w:t xml:space="preserve"> </w:t>
      </w:r>
      <w:r w:rsidRPr="00164B42">
        <w:t>tillegg</w:t>
      </w:r>
      <w:r w:rsidRPr="00164B42">
        <w:rPr>
          <w:spacing w:val="-11"/>
        </w:rPr>
        <w:t xml:space="preserve"> </w:t>
      </w:r>
      <w:r w:rsidRPr="00164B42">
        <w:t>utgjøre</w:t>
      </w:r>
      <w:r w:rsidRPr="00164B42">
        <w:rPr>
          <w:spacing w:val="-11"/>
        </w:rPr>
        <w:t xml:space="preserve"> </w:t>
      </w:r>
      <w:r w:rsidRPr="00164B42">
        <w:t>et</w:t>
      </w:r>
      <w:r w:rsidRPr="00164B42">
        <w:rPr>
          <w:spacing w:val="-10"/>
        </w:rPr>
        <w:t xml:space="preserve"> </w:t>
      </w:r>
      <w:r w:rsidRPr="00164B42">
        <w:t>bidrag</w:t>
      </w:r>
      <w:r w:rsidRPr="00164B42">
        <w:rPr>
          <w:spacing w:val="-12"/>
        </w:rPr>
        <w:t xml:space="preserve"> </w:t>
      </w:r>
      <w:r w:rsidRPr="00164B42">
        <w:t>til</w:t>
      </w:r>
      <w:r w:rsidRPr="00164B42">
        <w:rPr>
          <w:spacing w:val="-12"/>
        </w:rPr>
        <w:t xml:space="preserve"> </w:t>
      </w:r>
      <w:r w:rsidRPr="00164B42">
        <w:t>dekning</w:t>
      </w:r>
      <w:r w:rsidRPr="00164B42">
        <w:rPr>
          <w:spacing w:val="-9"/>
        </w:rPr>
        <w:t xml:space="preserve"> </w:t>
      </w:r>
      <w:r w:rsidRPr="00164B42">
        <w:t>av</w:t>
      </w:r>
      <w:r w:rsidRPr="00164B42">
        <w:rPr>
          <w:spacing w:val="-16"/>
        </w:rPr>
        <w:t xml:space="preserve"> </w:t>
      </w:r>
      <w:r w:rsidRPr="00164B42">
        <w:t>eventuelt</w:t>
      </w:r>
      <w:r w:rsidRPr="00164B42">
        <w:rPr>
          <w:spacing w:val="-10"/>
        </w:rPr>
        <w:t xml:space="preserve"> </w:t>
      </w:r>
      <w:r w:rsidRPr="00164B42">
        <w:t>vedtatte bruksrettsytelser, tilskudd og kontantutbytter til de eiendoms- og bruksberettigede. Allmenningens regnskap skal føres slik at det løpende gir oversikt over innskudd kapital, årlig avkastning, akkumulert avkastning og hva som i det enkelte år er brukt av fondets midler og</w:t>
      </w:r>
      <w:r w:rsidRPr="00164B42">
        <w:rPr>
          <w:spacing w:val="-15"/>
        </w:rPr>
        <w:t xml:space="preserve"> </w:t>
      </w:r>
      <w:r w:rsidRPr="00164B42">
        <w:t>avkastning.</w:t>
      </w:r>
    </w:p>
    <w:p w14:paraId="44FC06AA" w14:textId="77777777" w:rsidR="001118E1" w:rsidRDefault="001118E1">
      <w:pPr>
        <w:pStyle w:val="Brdtekst"/>
        <w:spacing w:before="1"/>
      </w:pPr>
    </w:p>
    <w:p w14:paraId="13987E9A" w14:textId="77777777" w:rsidR="004D1B81" w:rsidRDefault="00761D88">
      <w:pPr>
        <w:pStyle w:val="Brdtekst"/>
        <w:spacing w:before="1"/>
      </w:pPr>
      <w:r>
        <w:t xml:space="preserve">§ </w:t>
      </w:r>
      <w:r w:rsidR="001118E1">
        <w:t>5.</w:t>
      </w:r>
      <w:r>
        <w:t xml:space="preserve"> BEITE/SETERDRIFT</w:t>
      </w:r>
    </w:p>
    <w:p w14:paraId="5C3DA16D" w14:textId="77777777" w:rsidR="004D1B81" w:rsidRDefault="004D1B81">
      <w:pPr>
        <w:pStyle w:val="Brdtekst"/>
        <w:spacing w:before="1"/>
        <w:ind w:left="0"/>
      </w:pPr>
    </w:p>
    <w:p w14:paraId="4366B760" w14:textId="77777777" w:rsidR="004D1B81" w:rsidRDefault="00761D88">
      <w:pPr>
        <w:pStyle w:val="Brdtekst"/>
        <w:ind w:right="264"/>
      </w:pPr>
      <w:r>
        <w:t>I den utstrekning det skulle bli påkrevd, fastsetter styret i bygdeallmenningen nærmere bestemmelser om beite og seterdrift i allmenningen.</w:t>
      </w:r>
    </w:p>
    <w:p w14:paraId="5695C37A" w14:textId="77777777" w:rsidR="001118E1" w:rsidRDefault="001118E1">
      <w:pPr>
        <w:pStyle w:val="Brdtekst"/>
        <w:ind w:right="264"/>
      </w:pPr>
    </w:p>
    <w:p w14:paraId="4A7904D9" w14:textId="77777777" w:rsidR="004D1B81" w:rsidRDefault="00761D88">
      <w:pPr>
        <w:pStyle w:val="Brdtekst"/>
        <w:spacing w:before="76"/>
      </w:pPr>
      <w:r>
        <w:t xml:space="preserve">§ </w:t>
      </w:r>
      <w:r w:rsidR="001118E1">
        <w:t>6</w:t>
      </w:r>
      <w:r>
        <w:t>. JAKT OG FANGST</w:t>
      </w:r>
    </w:p>
    <w:p w14:paraId="1FBBD765" w14:textId="77777777" w:rsidR="004D1B81" w:rsidRDefault="004D1B81">
      <w:pPr>
        <w:pStyle w:val="Brdtekst"/>
        <w:spacing w:before="1"/>
        <w:ind w:left="0"/>
      </w:pPr>
    </w:p>
    <w:p w14:paraId="0442FA03" w14:textId="77777777" w:rsidR="004D1B81" w:rsidRDefault="00761D88" w:rsidP="001118E1">
      <w:pPr>
        <w:pStyle w:val="Listeavsnitt"/>
        <w:numPr>
          <w:ilvl w:val="1"/>
          <w:numId w:val="2"/>
        </w:numPr>
        <w:tabs>
          <w:tab w:val="left" w:pos="503"/>
        </w:tabs>
      </w:pPr>
      <w:r>
        <w:t>Forvaltning av jakt og</w:t>
      </w:r>
      <w:r w:rsidRPr="001118E1">
        <w:rPr>
          <w:spacing w:val="-7"/>
        </w:rPr>
        <w:t xml:space="preserve"> </w:t>
      </w:r>
      <w:r>
        <w:t>fangst</w:t>
      </w:r>
    </w:p>
    <w:p w14:paraId="187E0109" w14:textId="77777777" w:rsidR="004D1B81" w:rsidRDefault="004D1B81">
      <w:pPr>
        <w:pStyle w:val="Brdtekst"/>
        <w:ind w:left="0"/>
      </w:pPr>
    </w:p>
    <w:p w14:paraId="34FA75BC" w14:textId="77777777" w:rsidR="004D1B81" w:rsidRDefault="00761D88">
      <w:pPr>
        <w:pStyle w:val="Brdtekst"/>
        <w:ind w:right="630"/>
      </w:pPr>
      <w:r>
        <w:t>Forvaltningen av jakt og fangst skal ha som mål å oppnå en bærekraftig forvaltning i forhold til skoglige, samfunnsmessige og andre forhold, og en rasjonell utnyttelse av jakten i allmenningen, innenfor rammen av eksisterende lovgivning.</w:t>
      </w:r>
    </w:p>
    <w:p w14:paraId="0783815F" w14:textId="77777777" w:rsidR="004D1B81" w:rsidRDefault="004D1B81">
      <w:pPr>
        <w:pStyle w:val="Brdtekst"/>
        <w:spacing w:before="1"/>
        <w:ind w:left="0"/>
      </w:pPr>
    </w:p>
    <w:p w14:paraId="5B06C558" w14:textId="77777777" w:rsidR="004D1B81" w:rsidRDefault="00761D88" w:rsidP="001118E1">
      <w:pPr>
        <w:pStyle w:val="Listeavsnitt"/>
        <w:numPr>
          <w:ilvl w:val="1"/>
          <w:numId w:val="2"/>
        </w:numPr>
        <w:tabs>
          <w:tab w:val="left" w:pos="503"/>
        </w:tabs>
      </w:pPr>
      <w:r>
        <w:t>Nødvendige begrensninger i</w:t>
      </w:r>
      <w:r w:rsidRPr="001118E1">
        <w:rPr>
          <w:spacing w:val="-2"/>
        </w:rPr>
        <w:t xml:space="preserve"> </w:t>
      </w:r>
      <w:r>
        <w:t>jaktadgangen</w:t>
      </w:r>
    </w:p>
    <w:p w14:paraId="2DCDA4C6" w14:textId="77777777" w:rsidR="004D1B81" w:rsidRDefault="004D1B81">
      <w:pPr>
        <w:pStyle w:val="Brdtekst"/>
        <w:spacing w:before="9"/>
        <w:ind w:left="0"/>
        <w:rPr>
          <w:sz w:val="21"/>
        </w:rPr>
      </w:pPr>
    </w:p>
    <w:p w14:paraId="453717AC" w14:textId="77777777" w:rsidR="004D1B81" w:rsidRDefault="00761D88">
      <w:pPr>
        <w:pStyle w:val="Brdtekst"/>
        <w:spacing w:before="1"/>
        <w:ind w:right="460"/>
      </w:pPr>
      <w:r>
        <w:t>Innenfor rammen av viltmyndighetenes bestemmelser om jakttider m.m. kan styret i bygdeallmenningen foreta innskrenkninger med hensyn til tiden, området og måten for utøvelse av jakt og fangst, når disse tiltak etter styrets mening er nødvendige av hensyn til viltbestanden. Det samme gjelder begrensning i antall jegere og i antall vilt av ulike slag som tillates felt eller fanget.</w:t>
      </w:r>
    </w:p>
    <w:p w14:paraId="6D93EFDB" w14:textId="77777777" w:rsidR="005F0AB5" w:rsidRDefault="005F0AB5">
      <w:pPr>
        <w:pStyle w:val="Brdtekst"/>
        <w:spacing w:before="1"/>
        <w:ind w:right="460"/>
      </w:pPr>
    </w:p>
    <w:p w14:paraId="5F65A49C" w14:textId="77777777" w:rsidR="005F0AB5" w:rsidRPr="00164B42" w:rsidRDefault="005F0AB5" w:rsidP="005F0AB5">
      <w:pPr>
        <w:pStyle w:val="Brdtekst"/>
      </w:pPr>
      <w:r w:rsidRPr="00164B42">
        <w:t>§ 7. FISKE</w:t>
      </w:r>
    </w:p>
    <w:p w14:paraId="5968DED8" w14:textId="77777777" w:rsidR="005F0AB5" w:rsidRPr="00164B42" w:rsidRDefault="005F0AB5" w:rsidP="005F0AB5">
      <w:pPr>
        <w:pStyle w:val="Brdtekst"/>
      </w:pPr>
    </w:p>
    <w:p w14:paraId="2739ED12" w14:textId="77777777" w:rsidR="005F0AB5" w:rsidRPr="00164B42" w:rsidRDefault="005F0AB5" w:rsidP="005F0AB5">
      <w:pPr>
        <w:pStyle w:val="Brdtekst"/>
      </w:pPr>
      <w:r w:rsidRPr="00164B42">
        <w:t xml:space="preserve">Forvaltningen av fisket skal ha som mål å oppnå en rasjonell utnyttelse av fisket, innenfor rammen av gjeldene lovverk. </w:t>
      </w:r>
    </w:p>
    <w:p w14:paraId="744894E4" w14:textId="77777777" w:rsidR="005F0AB5" w:rsidRPr="00164B42" w:rsidRDefault="005F0AB5" w:rsidP="005F0AB5">
      <w:pPr>
        <w:pStyle w:val="Brdtekst"/>
      </w:pPr>
    </w:p>
    <w:p w14:paraId="1F84E85D" w14:textId="77777777" w:rsidR="005F0AB5" w:rsidRPr="00164B42" w:rsidRDefault="005F0AB5" w:rsidP="005F0AB5">
      <w:pPr>
        <w:pStyle w:val="Brdtekst"/>
      </w:pPr>
      <w:r w:rsidRPr="00164B42">
        <w:t xml:space="preserve">Styret kan bestemme at det skal åpnes adgang til fiske med andre redskaper enn krok og betingelser for slikt fiske. </w:t>
      </w:r>
    </w:p>
    <w:p w14:paraId="48D3033D" w14:textId="77777777" w:rsidR="005F0AB5" w:rsidRDefault="005F0AB5">
      <w:pPr>
        <w:pStyle w:val="Brdtekst"/>
        <w:spacing w:before="1"/>
        <w:ind w:right="460"/>
      </w:pPr>
    </w:p>
    <w:p w14:paraId="623011A0" w14:textId="77777777" w:rsidR="004D1B81" w:rsidRDefault="00761D88">
      <w:pPr>
        <w:pStyle w:val="Brdtekst"/>
      </w:pPr>
      <w:r>
        <w:t xml:space="preserve">§ </w:t>
      </w:r>
      <w:r w:rsidR="006B77F8">
        <w:t>8</w:t>
      </w:r>
      <w:r>
        <w:t>. IKRAFTTREDELSE</w:t>
      </w:r>
    </w:p>
    <w:p w14:paraId="6921187D" w14:textId="77777777" w:rsidR="004D1B81" w:rsidRDefault="004D1B81">
      <w:pPr>
        <w:pStyle w:val="Brdtekst"/>
        <w:ind w:left="0"/>
      </w:pPr>
    </w:p>
    <w:p w14:paraId="35B56CCC" w14:textId="77777777" w:rsidR="004D1B81" w:rsidRDefault="00761D88">
      <w:pPr>
        <w:pStyle w:val="Brdtekst"/>
        <w:ind w:right="99"/>
      </w:pPr>
      <w:r>
        <w:t xml:space="preserve">Disse bruksregler er godkjent av Landbruks- og matdepartementet </w:t>
      </w:r>
      <w:r w:rsidR="00B969C5">
        <w:t>xx.xx.201</w:t>
      </w:r>
      <w:r w:rsidR="006B77F8">
        <w:t>9</w:t>
      </w:r>
      <w:r>
        <w:t xml:space="preserve"> og trer i kraft fire uker etter at de er kunngjort. Fra samme tidspunkt oppheves tidligere bruksregler for </w:t>
      </w:r>
      <w:r w:rsidR="00B969C5">
        <w:t>Gjerdrum</w:t>
      </w:r>
      <w:r>
        <w:t xml:space="preserve"> Almenning fastsatt </w:t>
      </w:r>
      <w:r w:rsidR="004519A6">
        <w:t>11</w:t>
      </w:r>
      <w:r w:rsidR="001118E1">
        <w:t>.</w:t>
      </w:r>
      <w:r w:rsidR="005F0AB5">
        <w:t>9</w:t>
      </w:r>
      <w:r w:rsidR="001118E1">
        <w:t>.2007</w:t>
      </w:r>
      <w:r>
        <w:t>.</w:t>
      </w:r>
    </w:p>
    <w:p w14:paraId="0C1B8B7B" w14:textId="77777777" w:rsidR="004D1B81" w:rsidRDefault="004D1B81">
      <w:pPr>
        <w:pStyle w:val="Brdtekst"/>
        <w:spacing w:before="1"/>
        <w:ind w:left="0"/>
      </w:pPr>
    </w:p>
    <w:p w14:paraId="17C29819" w14:textId="77777777" w:rsidR="004D1B81" w:rsidRDefault="00761D88">
      <w:pPr>
        <w:pStyle w:val="Brdtekst"/>
      </w:pPr>
      <w:r>
        <w:t>Bruksreglene skal gjennomgås, og eventuelt endres, minst hvert 20. år.</w:t>
      </w:r>
    </w:p>
    <w:sectPr w:rsidR="004D1B81">
      <w:footerReference w:type="default" r:id="rId7"/>
      <w:pgSz w:w="11910" w:h="16840"/>
      <w:pgMar w:top="1320" w:right="132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18A2" w14:textId="77777777" w:rsidR="000C5D61" w:rsidRDefault="000C5D61">
      <w:r>
        <w:separator/>
      </w:r>
    </w:p>
  </w:endnote>
  <w:endnote w:type="continuationSeparator" w:id="0">
    <w:p w14:paraId="2C750E38" w14:textId="77777777" w:rsidR="000C5D61" w:rsidRDefault="000C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B82C" w14:textId="77777777" w:rsidR="004D1B81" w:rsidRDefault="00FB1A71">
    <w:pPr>
      <w:pStyle w:val="Brdtekst"/>
      <w:spacing w:line="14" w:lineRule="auto"/>
      <w:ind w:left="0"/>
      <w:rPr>
        <w:sz w:val="20"/>
      </w:rPr>
    </w:pPr>
    <w:r>
      <w:rPr>
        <w:noProof/>
      </w:rPr>
      <mc:AlternateContent>
        <mc:Choice Requires="wps">
          <w:drawing>
            <wp:anchor distT="0" distB="0" distL="114300" distR="114300" simplePos="0" relativeHeight="251657216" behindDoc="1" locked="0" layoutInCell="1" allowOverlap="1" wp14:anchorId="7FE485EC" wp14:editId="7CF2B47A">
              <wp:simplePos x="0" y="0"/>
              <wp:positionH relativeFrom="page">
                <wp:posOffset>3463925</wp:posOffset>
              </wp:positionH>
              <wp:positionV relativeFrom="page">
                <wp:posOffset>9917430</wp:posOffset>
              </wp:positionV>
              <wp:extent cx="631825"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2B55E" w14:textId="77777777" w:rsidR="004D1B81" w:rsidRDefault="00761D88">
                          <w:pPr>
                            <w:spacing w:line="245" w:lineRule="exact"/>
                            <w:ind w:left="20"/>
                            <w:rPr>
                              <w:rFonts w:ascii="Calibri"/>
                              <w:b/>
                            </w:rPr>
                          </w:pPr>
                          <w:r>
                            <w:rPr>
                              <w:rFonts w:ascii="Calibri"/>
                            </w:rPr>
                            <w:t xml:space="preserve">Side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av </w:t>
                          </w:r>
                          <w:r>
                            <w:rPr>
                              <w:rFonts w:ascii="Calibri"/>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2.75pt;margin-top:780.9pt;width:49.7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" filled="f" stroked="f">
              <v:textbox inset="0,0,0,0">
                <w:txbxContent>
                  <w:p w:rsidR="004D1B81" w:rsidRDefault="00761D88">
                    <w:pPr>
                      <w:spacing w:line="245" w:lineRule="exact"/>
                      <w:ind w:left="20"/>
                      <w:rPr>
                        <w:rFonts w:ascii="Calibri"/>
                        <w:b/>
                      </w:rPr>
                    </w:pPr>
                    <w:r>
                      <w:rPr>
                        <w:rFonts w:ascii="Calibri"/>
                      </w:rPr>
                      <w:t xml:space="preserve">Side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av </w:t>
                    </w:r>
                    <w:r>
                      <w:rPr>
                        <w:rFonts w:ascii="Calibri"/>
                        <w:b/>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2979" w14:textId="77777777" w:rsidR="000C5D61" w:rsidRDefault="000C5D61">
      <w:r>
        <w:separator/>
      </w:r>
    </w:p>
  </w:footnote>
  <w:footnote w:type="continuationSeparator" w:id="0">
    <w:p w14:paraId="42BDC6D4" w14:textId="77777777" w:rsidR="000C5D61" w:rsidRDefault="000C5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F1116"/>
    <w:multiLevelType w:val="multilevel"/>
    <w:tmpl w:val="A5566A0C"/>
    <w:lvl w:ilvl="0">
      <w:start w:val="5"/>
      <w:numFmt w:val="decimal"/>
      <w:lvlText w:val="%1"/>
      <w:lvlJc w:val="left"/>
      <w:pPr>
        <w:ind w:left="502" w:hanging="387"/>
      </w:pPr>
      <w:rPr>
        <w:rFonts w:hint="default"/>
        <w:lang w:val="nb" w:eastAsia="nb" w:bidi="nb"/>
      </w:rPr>
    </w:lvl>
    <w:lvl w:ilvl="1">
      <w:start w:val="1"/>
      <w:numFmt w:val="decimal"/>
      <w:lvlText w:val="%1.%2."/>
      <w:lvlJc w:val="left"/>
      <w:pPr>
        <w:ind w:left="502" w:hanging="387"/>
      </w:pPr>
      <w:rPr>
        <w:rFonts w:ascii="Times New Roman" w:eastAsia="Times New Roman" w:hAnsi="Times New Roman" w:cs="Times New Roman" w:hint="default"/>
        <w:w w:val="100"/>
        <w:sz w:val="22"/>
        <w:szCs w:val="22"/>
        <w:lang w:val="nb" w:eastAsia="nb" w:bidi="nb"/>
      </w:rPr>
    </w:lvl>
    <w:lvl w:ilvl="2">
      <w:numFmt w:val="bullet"/>
      <w:lvlText w:val="•"/>
      <w:lvlJc w:val="left"/>
      <w:pPr>
        <w:ind w:left="2257" w:hanging="387"/>
      </w:pPr>
      <w:rPr>
        <w:rFonts w:hint="default"/>
        <w:lang w:val="nb" w:eastAsia="nb" w:bidi="nb"/>
      </w:rPr>
    </w:lvl>
    <w:lvl w:ilvl="3">
      <w:numFmt w:val="bullet"/>
      <w:lvlText w:val="•"/>
      <w:lvlJc w:val="left"/>
      <w:pPr>
        <w:ind w:left="3135" w:hanging="387"/>
      </w:pPr>
      <w:rPr>
        <w:rFonts w:hint="default"/>
        <w:lang w:val="nb" w:eastAsia="nb" w:bidi="nb"/>
      </w:rPr>
    </w:lvl>
    <w:lvl w:ilvl="4">
      <w:numFmt w:val="bullet"/>
      <w:lvlText w:val="•"/>
      <w:lvlJc w:val="left"/>
      <w:pPr>
        <w:ind w:left="4014" w:hanging="387"/>
      </w:pPr>
      <w:rPr>
        <w:rFonts w:hint="default"/>
        <w:lang w:val="nb" w:eastAsia="nb" w:bidi="nb"/>
      </w:rPr>
    </w:lvl>
    <w:lvl w:ilvl="5">
      <w:numFmt w:val="bullet"/>
      <w:lvlText w:val="•"/>
      <w:lvlJc w:val="left"/>
      <w:pPr>
        <w:ind w:left="4893" w:hanging="387"/>
      </w:pPr>
      <w:rPr>
        <w:rFonts w:hint="default"/>
        <w:lang w:val="nb" w:eastAsia="nb" w:bidi="nb"/>
      </w:rPr>
    </w:lvl>
    <w:lvl w:ilvl="6">
      <w:numFmt w:val="bullet"/>
      <w:lvlText w:val="•"/>
      <w:lvlJc w:val="left"/>
      <w:pPr>
        <w:ind w:left="5771" w:hanging="387"/>
      </w:pPr>
      <w:rPr>
        <w:rFonts w:hint="default"/>
        <w:lang w:val="nb" w:eastAsia="nb" w:bidi="nb"/>
      </w:rPr>
    </w:lvl>
    <w:lvl w:ilvl="7">
      <w:numFmt w:val="bullet"/>
      <w:lvlText w:val="•"/>
      <w:lvlJc w:val="left"/>
      <w:pPr>
        <w:ind w:left="6650" w:hanging="387"/>
      </w:pPr>
      <w:rPr>
        <w:rFonts w:hint="default"/>
        <w:lang w:val="nb" w:eastAsia="nb" w:bidi="nb"/>
      </w:rPr>
    </w:lvl>
    <w:lvl w:ilvl="8">
      <w:numFmt w:val="bullet"/>
      <w:lvlText w:val="•"/>
      <w:lvlJc w:val="left"/>
      <w:pPr>
        <w:ind w:left="7529" w:hanging="387"/>
      </w:pPr>
      <w:rPr>
        <w:rFonts w:hint="default"/>
        <w:lang w:val="nb" w:eastAsia="nb" w:bidi="nb"/>
      </w:rPr>
    </w:lvl>
  </w:abstractNum>
  <w:abstractNum w:abstractNumId="1" w15:restartNumberingAfterBreak="0">
    <w:nsid w:val="7A532030"/>
    <w:multiLevelType w:val="multilevel"/>
    <w:tmpl w:val="1750A87C"/>
    <w:lvl w:ilvl="0">
      <w:start w:val="6"/>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36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81"/>
    <w:rsid w:val="000C5D61"/>
    <w:rsid w:val="001118E1"/>
    <w:rsid w:val="001C6DC3"/>
    <w:rsid w:val="00304D67"/>
    <w:rsid w:val="004519A6"/>
    <w:rsid w:val="004D1B81"/>
    <w:rsid w:val="005F0AB5"/>
    <w:rsid w:val="006B77F8"/>
    <w:rsid w:val="00761D88"/>
    <w:rsid w:val="0077741E"/>
    <w:rsid w:val="00996D8B"/>
    <w:rsid w:val="00B43AB6"/>
    <w:rsid w:val="00B969C5"/>
    <w:rsid w:val="00C52F54"/>
    <w:rsid w:val="00FB1A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CA7D8"/>
  <w15:docId w15:val="{8BBEF32B-9C0F-4D84-8AAE-31FEEC83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nb" w:eastAsia="nb" w:bidi="nb"/>
    </w:rPr>
  </w:style>
  <w:style w:type="paragraph" w:styleId="Overskrift1">
    <w:name w:val="heading 1"/>
    <w:basedOn w:val="Normal"/>
    <w:uiPriority w:val="9"/>
    <w:qFormat/>
    <w:pPr>
      <w:ind w:left="1820"/>
      <w:outlineLvl w:val="0"/>
    </w:pPr>
    <w:rPr>
      <w:rFonts w:ascii="Calibri Light" w:eastAsia="Calibri Light" w:hAnsi="Calibri Light" w:cs="Calibri Light"/>
      <w:sz w:val="56"/>
      <w:szCs w:val="5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116"/>
    </w:pPr>
  </w:style>
  <w:style w:type="paragraph" w:styleId="Listeavsnitt">
    <w:name w:val="List Paragraph"/>
    <w:basedOn w:val="Normal"/>
    <w:uiPriority w:val="1"/>
    <w:qFormat/>
    <w:pPr>
      <w:ind w:left="502" w:hanging="386"/>
    </w:pPr>
  </w:style>
  <w:style w:type="paragraph" w:customStyle="1" w:styleId="TableParagraph">
    <w:name w:val="Table Paragraph"/>
    <w:basedOn w:val="Normal"/>
    <w:uiPriority w:val="1"/>
    <w:qFormat/>
  </w:style>
  <w:style w:type="character" w:customStyle="1" w:styleId="BrdtekstTegn">
    <w:name w:val="Brødtekst Tegn"/>
    <w:basedOn w:val="Standardskriftforavsnitt"/>
    <w:link w:val="Brdtekst"/>
    <w:uiPriority w:val="1"/>
    <w:rsid w:val="001118E1"/>
    <w:rPr>
      <w:rFonts w:ascii="Times New Roman" w:eastAsia="Times New Roman" w:hAnsi="Times New Roman" w:cs="Times New Roman"/>
      <w:lang w:val="nb" w:eastAsia="nb" w:bidi="nb"/>
    </w:rPr>
  </w:style>
  <w:style w:type="paragraph" w:styleId="Topptekst">
    <w:name w:val="header"/>
    <w:basedOn w:val="Normal"/>
    <w:link w:val="TopptekstTegn"/>
    <w:uiPriority w:val="99"/>
    <w:unhideWhenUsed/>
    <w:rsid w:val="001118E1"/>
    <w:pPr>
      <w:tabs>
        <w:tab w:val="center" w:pos="4536"/>
        <w:tab w:val="right" w:pos="9072"/>
      </w:tabs>
    </w:pPr>
  </w:style>
  <w:style w:type="character" w:customStyle="1" w:styleId="TopptekstTegn">
    <w:name w:val="Topptekst Tegn"/>
    <w:basedOn w:val="Standardskriftforavsnitt"/>
    <w:link w:val="Topptekst"/>
    <w:uiPriority w:val="99"/>
    <w:rsid w:val="001118E1"/>
    <w:rPr>
      <w:rFonts w:ascii="Times New Roman" w:eastAsia="Times New Roman" w:hAnsi="Times New Roman" w:cs="Times New Roman"/>
      <w:lang w:val="nb" w:eastAsia="nb" w:bidi="nb"/>
    </w:rPr>
  </w:style>
  <w:style w:type="paragraph" w:styleId="Bunntekst">
    <w:name w:val="footer"/>
    <w:basedOn w:val="Normal"/>
    <w:link w:val="BunntekstTegn"/>
    <w:uiPriority w:val="99"/>
    <w:unhideWhenUsed/>
    <w:rsid w:val="001118E1"/>
    <w:pPr>
      <w:tabs>
        <w:tab w:val="center" w:pos="4536"/>
        <w:tab w:val="right" w:pos="9072"/>
      </w:tabs>
    </w:pPr>
  </w:style>
  <w:style w:type="character" w:customStyle="1" w:styleId="BunntekstTegn">
    <w:name w:val="Bunntekst Tegn"/>
    <w:basedOn w:val="Standardskriftforavsnitt"/>
    <w:link w:val="Bunntekst"/>
    <w:uiPriority w:val="99"/>
    <w:rsid w:val="001118E1"/>
    <w:rPr>
      <w:rFonts w:ascii="Times New Roman" w:eastAsia="Times New Roman" w:hAnsi="Times New Roman" w:cs="Times New Roman"/>
      <w:lang w:val="nb" w:eastAsia="nb" w:bidi="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4839</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dc:creator>
  <cp:lastModifiedBy>Vibeke Hjelde Pay</cp:lastModifiedBy>
  <cp:revision>2</cp:revision>
  <cp:lastPrinted>2019-05-15T12:24:00Z</cp:lastPrinted>
  <dcterms:created xsi:type="dcterms:W3CDTF">2019-09-27T12:04:00Z</dcterms:created>
  <dcterms:modified xsi:type="dcterms:W3CDTF">2019-09-27T12:04:00Z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Microsoft® Word 2016</vt:lpwstr>
  </property>
  <property fmtid="{D5CDD505-2E9C-101B-9397-08002B2CF9AE}" pid="4" name="LastSaved">
    <vt:filetime>2018-08-10T00:00:00Z</vt:filetime>
  </property>
</Properties>
</file>